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IEEE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Central Texas Section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Local Operating Procedure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Nomination and Election of Officers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Replaces Standing Rule on Nomination and Election of Officers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Approved 29 August 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Local Operating Procedure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pPr>
        <w:ind w:left="280" w:hanging="260"/>
        <w:contextualSpacing w:val="0"/>
      </w:pPr>
      <w:r w:rsidDel="00000000" w:rsidR="00000000" w:rsidRPr="00000000">
        <w:rPr>
          <w:rFonts w:ascii="Times New Roman" w:cs="Times New Roman" w:eastAsia="Times New Roman" w:hAnsi="Times New Roman"/>
          <w:sz w:val="24"/>
          <w:szCs w:val="24"/>
          <w:rtl w:val="0"/>
        </w:rPr>
        <w:t xml:space="preserve">1.</w:t>
        <w:tab/>
        <w:t xml:space="preserve">The schedule for our elections is as follows.  A Call for Nominations is published in the April Analog.  The nominations committee will accept nominations from section members during the month of April, and will communicate a slate of nominees to the CTS Executive Committee by August 15th, for ratification at the Executive Committee meeting at the end of August.  The ratified slate will be published in the September Analog newsletter, and petition candidates will be accepted until October 15th. The modified slate will be announced to section members in the October Mid Month Reminder.  The election will be announced in the November Analog.  The election will begin on November 1.</w:t>
      </w:r>
    </w:p>
    <w:p w:rsidR="00000000" w:rsidDel="00000000" w:rsidP="00000000" w:rsidRDefault="00000000" w:rsidRPr="00000000">
      <w:pPr>
        <w:ind w:left="280" w:hanging="260"/>
        <w:contextualSpacing w:val="0"/>
      </w:pPr>
      <w:r w:rsidDel="00000000" w:rsidR="00000000" w:rsidRPr="00000000">
        <w:rPr>
          <w:rtl w:val="0"/>
        </w:rPr>
      </w:r>
    </w:p>
    <w:p w:rsidR="00000000" w:rsidDel="00000000" w:rsidP="00000000" w:rsidRDefault="00000000" w:rsidRPr="00000000">
      <w:pPr>
        <w:ind w:left="280" w:hanging="260"/>
        <w:contextualSpacing w:val="0"/>
      </w:pPr>
      <w:r w:rsidDel="00000000" w:rsidR="00000000" w:rsidRPr="00000000">
        <w:rPr>
          <w:rFonts w:ascii="Times New Roman" w:cs="Times New Roman" w:eastAsia="Times New Roman" w:hAnsi="Times New Roman"/>
          <w:sz w:val="24"/>
          <w:szCs w:val="24"/>
          <w:rtl w:val="0"/>
        </w:rPr>
        <w:t xml:space="preserve">2. If only one nomination is made for an office, that election shall be declared by acclamation at a meeting of the Section general membership, or the Section Executive Committee (ExCom). If more than one nomination</w:t>
      </w:r>
      <w:r w:rsidDel="00000000" w:rsidR="00000000" w:rsidRPr="00000000">
        <w:rPr>
          <w:rFonts w:ascii="Times New Roman" w:cs="Times New Roman" w:eastAsia="Times New Roman" w:hAnsi="Times New Roman"/>
          <w:strike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is made, the election shall be made by </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IEEE vTools voting function.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280" w:hanging="260"/>
        <w:contextualSpacing w:val="0"/>
        <w:jc w:val="left"/>
      </w:pPr>
      <w:r w:rsidDel="00000000" w:rsidR="00000000" w:rsidRPr="00000000">
        <w:rPr>
          <w:rFonts w:ascii="Times New Roman" w:cs="Times New Roman" w:eastAsia="Times New Roman" w:hAnsi="Times New Roman"/>
          <w:sz w:val="24"/>
          <w:szCs w:val="24"/>
          <w:rtl w:val="0"/>
        </w:rPr>
        <w:t xml:space="preserve">3. For elections with three or more candidates, approval voting shall be used.  A plurality of the votes cast (largest number of votes cast) shall be necessary for election.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0" w:hanging="260"/>
        <w:contextualSpacing w:val="0"/>
        <w:jc w:val="left"/>
      </w:pPr>
      <w:r w:rsidDel="00000000" w:rsidR="00000000" w:rsidRPr="00000000">
        <w:rPr>
          <w:rtl w:val="0"/>
        </w:rPr>
      </w:r>
    </w:p>
    <w:p w:rsidR="00000000" w:rsidDel="00000000" w:rsidP="00000000" w:rsidRDefault="00000000" w:rsidRPr="00000000">
      <w:pPr>
        <w:ind w:left="280" w:hanging="260"/>
        <w:contextualSpacing w:val="0"/>
        <w:jc w:val="center"/>
      </w:pPr>
      <w:r w:rsidDel="00000000" w:rsidR="00000000" w:rsidRPr="00000000">
        <w:rPr>
          <w:rFonts w:ascii="Times New Roman" w:cs="Times New Roman" w:eastAsia="Times New Roman" w:hAnsi="Times New Roman"/>
          <w:sz w:val="24"/>
          <w:szCs w:val="24"/>
          <w:rtl w:val="0"/>
        </w:rPr>
        <w:t xml:space="preserve">Clarifying Information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How is the Nominating Committee created?</w:t>
      </w:r>
    </w:p>
    <w:p w:rsidR="00000000" w:rsidDel="00000000" w:rsidP="00000000" w:rsidRDefault="00000000" w:rsidRPr="00000000">
      <w:pPr>
        <w:ind w:left="1080" w:firstLine="0"/>
        <w:contextualSpacing w:val="0"/>
      </w:pPr>
      <w:r w:rsidDel="00000000" w:rsidR="00000000" w:rsidRPr="00000000">
        <w:rPr>
          <w:rFonts w:ascii="Times New Roman" w:cs="Times New Roman" w:eastAsia="Times New Roman" w:hAnsi="Times New Roman"/>
          <w:sz w:val="24"/>
          <w:szCs w:val="24"/>
          <w:rtl w:val="0"/>
        </w:rPr>
        <w:t xml:space="preserve">“A Nominating Committee consisting of at least 3 members, not then officers of the Section, nor intending to stand as candidates for office, shall be appointed by the Section Chair with the approval of the Section Executive Committee. If available to do so, the most immediate outgoing Section Chair will serve as Chair of the Nominating Committee.” (Section 9.4.G of the MGA Operations Manual).</w:t>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How many candidates should the Nominating Committee submit?</w:t>
      </w:r>
    </w:p>
    <w:p w:rsidR="00000000" w:rsidDel="00000000" w:rsidP="00000000" w:rsidRDefault="00000000" w:rsidRPr="00000000">
      <w:pPr>
        <w:ind w:left="1080" w:firstLine="0"/>
        <w:contextualSpacing w:val="0"/>
      </w:pPr>
      <w:r w:rsidDel="00000000" w:rsidR="00000000" w:rsidRPr="00000000">
        <w:rPr>
          <w:rFonts w:ascii="Times New Roman" w:cs="Times New Roman" w:eastAsia="Times New Roman" w:hAnsi="Times New Roman"/>
          <w:sz w:val="24"/>
          <w:szCs w:val="24"/>
          <w:rtl w:val="0"/>
        </w:rPr>
        <w:t xml:space="preserve">“The Nominating Committee must submit a slate of least two, and no more than three, candidates for each position” (Section 9.4.G of the MGA Operations Manual).</w:t>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What is the requirement for a petition nomination?</w:t>
      </w:r>
    </w:p>
    <w:p w:rsidR="00000000" w:rsidDel="00000000" w:rsidP="00000000" w:rsidRDefault="00000000" w:rsidRPr="00000000">
      <w:pPr>
        <w:ind w:left="1080" w:firstLine="0"/>
        <w:contextualSpacing w:val="0"/>
      </w:pPr>
      <w:r w:rsidDel="00000000" w:rsidR="00000000" w:rsidRPr="00000000">
        <w:rPr>
          <w:rFonts w:ascii="Times New Roman" w:cs="Times New Roman" w:eastAsia="Times New Roman" w:hAnsi="Times New Roman"/>
          <w:sz w:val="24"/>
          <w:szCs w:val="24"/>
          <w:rtl w:val="0"/>
        </w:rPr>
        <w:t xml:space="preserve">“For all positions where the electorate is less than 30,000 voting members, signatures shall be required from 2% of the eligible voters.” (Section 9.4.H.6 of the MGA Operations Manual).  Typically, this will be the signatures of about 84 voting members, as determined by the Secretary.  </w:t>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How is the election administered?</w:t>
      </w:r>
    </w:p>
    <w:p w:rsidR="00000000" w:rsidDel="00000000" w:rsidP="00000000" w:rsidRDefault="00000000" w:rsidRPr="00000000">
      <w:pPr>
        <w:ind w:left="1080" w:firstLine="0"/>
        <w:contextualSpacing w:val="0"/>
      </w:pPr>
      <w:r w:rsidDel="00000000" w:rsidR="00000000" w:rsidRPr="00000000">
        <w:rPr>
          <w:rFonts w:ascii="Times New Roman" w:cs="Times New Roman" w:eastAsia="Times New Roman" w:hAnsi="Times New Roman"/>
          <w:sz w:val="24"/>
          <w:szCs w:val="24"/>
          <w:rtl w:val="0"/>
        </w:rPr>
        <w:t xml:space="preserve">“The Section Chair shall submit the names of up to three members of the Section to serve as a Tellers Committee, to the Section [Section Committee (SC)] for approval. After the tally of votes, the Tellers Committee shall report the results of the election to the Section Chair. The Section Chair shall inform each candidate for office of the results of the election prior to announcing the results to the Section membership.” (Section 9.4.H.9 of the MGA Operations Manual).</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60" w:lineRule="auto"/>
      <w:contextualSpacing w:val="0"/>
      <w:jc w:val="center"/>
    </w:pPr>
    <w:r w:rsidDel="00000000" w:rsidR="00000000" w:rsidRPr="00000000">
      <w:rPr>
        <w:rFonts w:ascii="Times New Roman" w:cs="Times New Roman" w:eastAsia="Times New Roman" w:hAnsi="Times New Roman"/>
        <w:rtl w:val="0"/>
      </w:rPr>
      <w:t xml:space="preserve">IEEE CTS SR LOP: Nomination and Election of Officers 6 Sep 2014 29 Aug 2015 Page </w:t>
    </w:r>
    <w:fldSimple w:instr="PAGE" w:fldLock="0" w:dirty="0">
      <w:r w:rsidDel="00000000" w:rsidR="00000000" w:rsidRPr="00000000">
        <w:rPr>
          <w:rFonts w:ascii="Times New Roman" w:cs="Times New Roman" w:eastAsia="Times New Roman" w:hAnsi="Times New Roman"/>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