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2.8pt;height:127.95pt;mso-position-horizontal-relative:char;mso-position-vertical-relative:line" coordorigin="0,0" coordsize="11256,2559">
            <v:rect style="position:absolute;left:7394;top:0;width:3833;height:2410" filled="true" fillcolor="#0070c0" stroked="false">
              <v:fill type="solid"/>
            </v:rect>
            <v:rect style="position:absolute;left:7509;top:626;width:3603;height:533" filled="true" fillcolor="#0070c0" stroked="false">
              <v:fill type="solid"/>
            </v:rect>
            <v:rect style="position:absolute;left:7509;top:1159;width:3603;height:372" filled="true" fillcolor="#0070c0" stroked="false">
              <v:fill type="solid"/>
            </v:rect>
            <v:rect style="position:absolute;left:7509;top:1531;width:3603;height:440" filled="true" fillcolor="#0070c0" stroked="false">
              <v:fill type="solid"/>
            </v:rect>
            <v:rect style="position:absolute;left:7509;top:1970;width:3603;height:440" filled="true" fillcolor="#0070c0" stroked="false">
              <v:fill type="solid"/>
            </v:rect>
            <v:rect style="position:absolute;left:0;top:2438;width:5316;height:120" filled="true" fillcolor="#0070c0" stroked="false">
              <v:fill type="solid"/>
            </v:rect>
            <v:rect style="position:absolute;left:5316;top:2438;width:5940;height:120" filled="true" fillcolor="#0070c0" stroked="false">
              <v:fill type="solid"/>
            </v:rect>
            <v:shape style="position:absolute;left:144;top:119;width:6911;height:217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256;height:2559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54"/>
                      </w:rPr>
                    </w:pPr>
                  </w:p>
                  <w:p>
                    <w:pPr>
                      <w:spacing w:before="1"/>
                      <w:ind w:left="0" w:right="1742" w:firstLine="0"/>
                      <w:jc w:val="righ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2018 SSSD</w:t>
                    </w:r>
                  </w:p>
                  <w:p>
                    <w:pPr>
                      <w:spacing w:before="1"/>
                      <w:ind w:left="0" w:right="615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Safety Summit San Diego</w:t>
                    </w:r>
                  </w:p>
                  <w:p>
                    <w:pPr>
                      <w:spacing w:before="119"/>
                      <w:ind w:left="7509" w:right="601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Sand Diego, California, USA October 9, 2018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300" w:bottom="280" w:left="260" w:right="160"/>
        </w:sectPr>
      </w:pPr>
    </w:p>
    <w:p>
      <w:pPr>
        <w:spacing w:before="101"/>
        <w:ind w:left="256" w:right="0" w:firstLine="0"/>
        <w:jc w:val="left"/>
        <w:rPr>
          <w:b/>
          <w:sz w:val="28"/>
        </w:rPr>
      </w:pPr>
      <w:r>
        <w:rPr>
          <w:b/>
          <w:color w:val="0070C0"/>
          <w:sz w:val="28"/>
        </w:rPr>
        <w:t>ORGANIZERS</w:t>
      </w:r>
    </w:p>
    <w:p>
      <w:pPr>
        <w:spacing w:before="1"/>
        <w:ind w:left="256" w:right="0" w:firstLine="0"/>
        <w:jc w:val="left"/>
        <w:rPr>
          <w:sz w:val="24"/>
        </w:rPr>
      </w:pPr>
      <w:r>
        <w:rPr>
          <w:sz w:val="24"/>
        </w:rPr>
        <w:t>IEEE PSES San Diego Chapter</w:t>
      </w:r>
    </w:p>
    <w:p>
      <w:pPr>
        <w:spacing w:before="119"/>
        <w:ind w:left="256" w:right="0" w:firstLine="0"/>
        <w:jc w:val="left"/>
        <w:rPr>
          <w:b/>
          <w:sz w:val="24"/>
        </w:rPr>
      </w:pPr>
      <w:r>
        <w:rPr>
          <w:b/>
          <w:color w:val="0070C0"/>
          <w:sz w:val="24"/>
          <w:u w:val="single" w:color="0070C0"/>
        </w:rPr>
        <w:t>General Chair</w:t>
      </w:r>
    </w:p>
    <w:p>
      <w:pPr>
        <w:spacing w:before="0"/>
        <w:ind w:left="256" w:right="44" w:firstLine="0"/>
        <w:jc w:val="left"/>
        <w:rPr>
          <w:sz w:val="24"/>
        </w:rPr>
      </w:pPr>
      <w:r>
        <w:rPr>
          <w:sz w:val="24"/>
        </w:rPr>
        <w:t>Leszek Langiewicz – IEEE/PSES</w:t>
      </w:r>
      <w:hyperlink r:id="rId6">
        <w:r>
          <w:rPr>
            <w:sz w:val="24"/>
          </w:rPr>
          <w:t> leszekl@ieee.org</w:t>
        </w:r>
      </w:hyperlink>
    </w:p>
    <w:p>
      <w:pPr>
        <w:spacing w:before="120"/>
        <w:ind w:left="256" w:right="0" w:firstLine="0"/>
        <w:jc w:val="left"/>
        <w:rPr>
          <w:b/>
          <w:sz w:val="24"/>
        </w:rPr>
      </w:pPr>
      <w:r>
        <w:rPr>
          <w:b/>
          <w:color w:val="0070C0"/>
          <w:sz w:val="24"/>
          <w:u w:val="single" w:color="0070C0"/>
        </w:rPr>
        <w:t>Co-Chair</w:t>
      </w:r>
    </w:p>
    <w:p>
      <w:pPr>
        <w:spacing w:before="0"/>
        <w:ind w:left="255" w:right="809" w:firstLine="0"/>
        <w:jc w:val="left"/>
        <w:rPr>
          <w:sz w:val="24"/>
        </w:rPr>
      </w:pPr>
      <w:r>
        <w:rPr>
          <w:sz w:val="24"/>
        </w:rPr>
        <w:t>Bansi Patel – IEEE/PSES</w:t>
      </w:r>
      <w:hyperlink r:id="rId7">
        <w:r>
          <w:rPr>
            <w:sz w:val="24"/>
          </w:rPr>
          <w:t> bansi.patel@ieee.org</w:t>
        </w:r>
      </w:hyperlink>
    </w:p>
    <w:p>
      <w:pPr>
        <w:spacing w:before="120"/>
        <w:ind w:left="256" w:right="0" w:firstLine="0"/>
        <w:jc w:val="left"/>
        <w:rPr>
          <w:b/>
          <w:sz w:val="24"/>
        </w:rPr>
      </w:pPr>
      <w:r>
        <w:rPr>
          <w:b/>
          <w:color w:val="0070C0"/>
          <w:sz w:val="24"/>
          <w:u w:val="single" w:color="0070C0"/>
        </w:rPr>
        <w:t>Treasurer</w:t>
      </w:r>
    </w:p>
    <w:p>
      <w:pPr>
        <w:spacing w:before="0"/>
        <w:ind w:left="255" w:right="603" w:firstLine="0"/>
        <w:jc w:val="left"/>
        <w:rPr>
          <w:sz w:val="24"/>
        </w:rPr>
      </w:pPr>
      <w:r>
        <w:rPr>
          <w:sz w:val="24"/>
        </w:rPr>
        <w:t>Andrew Bera – IEEE/PSES</w:t>
      </w:r>
      <w:hyperlink r:id="rId8">
        <w:r>
          <w:rPr>
            <w:sz w:val="24"/>
          </w:rPr>
          <w:t> a.bera.us@ieee.org</w:t>
        </w:r>
      </w:hyperlink>
    </w:p>
    <w:p>
      <w:pPr>
        <w:spacing w:before="120"/>
        <w:ind w:left="255" w:right="44" w:firstLine="0"/>
        <w:jc w:val="left"/>
        <w:rPr>
          <w:sz w:val="24"/>
        </w:rPr>
      </w:pPr>
      <w:r>
        <w:rPr>
          <w:b/>
          <w:color w:val="0070C0"/>
          <w:sz w:val="24"/>
          <w:u w:val="single" w:color="0070C0"/>
        </w:rPr>
        <w:t>Secretary/Advertising</w:t>
      </w:r>
      <w:r>
        <w:rPr>
          <w:b/>
          <w:color w:val="0070C0"/>
          <w:sz w:val="24"/>
        </w:rPr>
        <w:t> </w:t>
      </w:r>
      <w:r>
        <w:rPr>
          <w:sz w:val="24"/>
        </w:rPr>
        <w:t>Gabriel Alcala – IEEE/PSES </w:t>
      </w:r>
      <w:hyperlink r:id="rId9">
        <w:r>
          <w:rPr>
            <w:sz w:val="24"/>
          </w:rPr>
          <w:t>galcala@atecorp.com</w:t>
        </w:r>
      </w:hyperlink>
    </w:p>
    <w:p>
      <w:pPr>
        <w:spacing w:before="119"/>
        <w:ind w:left="256" w:right="-6" w:firstLine="0"/>
        <w:jc w:val="left"/>
        <w:rPr>
          <w:sz w:val="24"/>
        </w:rPr>
      </w:pPr>
      <w:r>
        <w:rPr>
          <w:b/>
          <w:color w:val="0070C0"/>
          <w:sz w:val="24"/>
          <w:u w:val="single" w:color="0070C0"/>
        </w:rPr>
        <w:t>Technical Program</w:t>
      </w:r>
      <w:r>
        <w:rPr>
          <w:b/>
          <w:color w:val="0070C0"/>
          <w:spacing w:val="-17"/>
          <w:sz w:val="24"/>
          <w:u w:val="single" w:color="0070C0"/>
        </w:rPr>
        <w:t> </w:t>
      </w:r>
      <w:r>
        <w:rPr>
          <w:b/>
          <w:color w:val="0070C0"/>
          <w:sz w:val="24"/>
          <w:u w:val="single" w:color="0070C0"/>
        </w:rPr>
        <w:t>Co-Chairs</w:t>
      </w:r>
      <w:r>
        <w:rPr>
          <w:b/>
          <w:color w:val="0070C0"/>
          <w:sz w:val="24"/>
        </w:rPr>
        <w:t> </w:t>
      </w:r>
      <w:r>
        <w:rPr>
          <w:sz w:val="24"/>
        </w:rPr>
        <w:t>Leszek Langiewicz - IEEE/PSES Andrew Bera –</w:t>
      </w:r>
      <w:r>
        <w:rPr>
          <w:spacing w:val="-11"/>
          <w:sz w:val="24"/>
        </w:rPr>
        <w:t> </w:t>
      </w:r>
      <w:r>
        <w:rPr>
          <w:sz w:val="24"/>
        </w:rPr>
        <w:t>IEEE/PSES</w:t>
      </w:r>
    </w:p>
    <w:p>
      <w:pPr>
        <w:pStyle w:val="BodyText"/>
        <w:spacing w:before="101"/>
        <w:ind w:left="255" w:right="395"/>
      </w:pPr>
      <w:r>
        <w:rPr/>
        <w:br w:type="column"/>
      </w:r>
      <w:r>
        <w:rPr>
          <w:color w:val="0070C0"/>
        </w:rPr>
        <w:t>The IEEE Product Safety Engineering Society San Diego Chapter hosts SSSD (Safety Summit San Diego), on all relevant topics for So-Cal professionals in area of product safety.</w:t>
      </w:r>
    </w:p>
    <w:p>
      <w:pPr>
        <w:pStyle w:val="BodyText"/>
        <w:ind w:left="256" w:right="1117"/>
      </w:pPr>
      <w:r>
        <w:rPr>
          <w:color w:val="0070C0"/>
        </w:rPr>
        <w:t>Join us in San Diego for 1 day of technical sessions and exhibits.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1"/>
        <w:spacing w:line="346" w:lineRule="exact"/>
      </w:pPr>
      <w:r>
        <w:rPr>
          <w:color w:val="0070C0"/>
        </w:rPr>
        <w:t>PAPER SUBMISSION</w:t>
      </w:r>
    </w:p>
    <w:p>
      <w:pPr>
        <w:pStyle w:val="BodyText"/>
        <w:ind w:left="255" w:right="535"/>
      </w:pPr>
      <w:r>
        <w:rPr/>
        <w:t>Please contact SSSD organizers for details &amp; submission instructions, including presentation templates.</w:t>
      </w:r>
    </w:p>
    <w:p>
      <w:pPr>
        <w:pStyle w:val="BodyText"/>
        <w:ind w:left="255" w:right="539"/>
      </w:pPr>
      <w:r>
        <w:rPr/>
        <w:t>Presentation not submitted per submission instructions by the initial deadline may need to be held over until next year depending on the number of submissions.</w:t>
      </w:r>
    </w:p>
    <w:p>
      <w:pPr>
        <w:spacing w:after="0"/>
        <w:sectPr>
          <w:type w:val="continuous"/>
          <w:pgSz w:w="11910" w:h="16840"/>
          <w:pgMar w:top="300" w:bottom="280" w:left="260" w:right="160"/>
          <w:cols w:num="2" w:equalWidth="0">
            <w:col w:w="3511" w:space="1791"/>
            <w:col w:w="6188"/>
          </w:cols>
        </w:sect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spacing w:before="101"/>
        <w:ind w:left="5537" w:right="4266"/>
        <w:jc w:val="center"/>
      </w:pPr>
      <w:r>
        <w:rPr/>
        <w:pict>
          <v:group style="position:absolute;margin-left:20.040001pt;margin-top:-1.681677pt;width:263.650pt;height:339.25pt;mso-position-horizontal-relative:page;mso-position-vertical-relative:paragraph;z-index:1144" coordorigin="401,-34" coordsize="5273,6785">
            <v:shape style="position:absolute;left:400;top:-34;width:5273;height:6785" coordorigin="401,-34" coordsize="5273,6785" path="m5674,-19l5558,-19,636,-19,521,-19,521,-34,401,-34,401,5702,401,6631,401,6751,521,6751,5554,6751,5674,6751,5674,6631,5674,5702,5554,5702,5554,6631,521,6631,521,5702,521,5690,636,5690,5558,5690,5674,5690,5674,-19e" filled="true" fillcolor="#0070c0" stroked="false">
              <v:path arrowok="t"/>
              <v:fill type="solid"/>
            </v:shape>
            <v:shape style="position:absolute;left:636;top:100;width:4752;height:477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IMPORTANT DATES</w:t>
                    </w:r>
                  </w:p>
                  <w:p>
                    <w:pPr>
                      <w:spacing w:before="119"/>
                      <w:ind w:left="0" w:right="-1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Indicated deadlines require that the associated documents be loaded into the submission portal, by the due date:</w:t>
                    </w:r>
                  </w:p>
                  <w:p>
                    <w:pPr>
                      <w:spacing w:line="346" w:lineRule="exact" w:before="121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August 10, 2018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Presentation Submittal Deadline</w:t>
                    </w:r>
                  </w:p>
                  <w:p>
                    <w:pPr>
                      <w:spacing w:line="346" w:lineRule="exact" w:before="12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Augu 31, 2018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Acceptance Notification Deadline</w:t>
                    </w:r>
                  </w:p>
                  <w:p>
                    <w:pPr>
                      <w:spacing w:line="346" w:lineRule="exact" w:before="12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September 14, 2018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Final Presentation Submission Deadline</w:t>
                    </w:r>
                  </w:p>
                  <w:p>
                    <w:pPr>
                      <w:spacing w:line="346" w:lineRule="exact" w:before="12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October 9, 2018</w:t>
                    </w:r>
                  </w:p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2018 Safety Summit San Diego</w:t>
                    </w:r>
                  </w:p>
                </w:txbxContent>
              </v:textbox>
              <w10:wrap type="none"/>
            </v:shape>
            <v:shape style="position:absolute;left:636;top:5821;width:4088;height:691" type="#_x0000_t202" filled="false" stroked="false">
              <v:textbox inset="0,0,0,0">
                <w:txbxContent>
                  <w:p>
                    <w:pPr>
                      <w:spacing w:line="345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0070C0"/>
                        <w:sz w:val="26"/>
                      </w:rPr>
                      <w:t>Please visit:</w:t>
                    </w:r>
                  </w:p>
                  <w:p>
                    <w:pPr>
                      <w:spacing w:line="345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hyperlink r:id="rId10">
                      <w:r>
                        <w:rPr>
                          <w:sz w:val="26"/>
                        </w:rPr>
                        <w:t>www.SSSD.org </w:t>
                      </w:r>
                    </w:hyperlink>
                    <w:r>
                      <w:rPr>
                        <w:sz w:val="26"/>
                      </w:rPr>
                      <w:t>(under construction)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3.960022pt;margin-top:-1.681695pt;width:6pt;height:340.7pt;mso-position-horizontal-relative:page;mso-position-vertical-relative:paragraph;z-index:1168" coordorigin="11479,-34" coordsize="120,6814" path="m11599,-34l11479,-34,11479,5702,11479,6780,11599,6780,11599,5702,11599,-34e" filled="true" fillcolor="#0070c0" stroked="false">
            <v:path arrowok="t"/>
            <v:fill type="solid"/>
            <w10:wrap type="none"/>
          </v:shape>
        </w:pict>
      </w:r>
      <w:r>
        <w:rPr>
          <w:color w:val="0070C0"/>
        </w:rPr>
        <w:t>TOPIC AREAS</w:t>
      </w:r>
    </w:p>
    <w:p>
      <w:pPr>
        <w:pStyle w:val="BodyText"/>
        <w:spacing w:before="120"/>
        <w:ind w:left="5557" w:right="1202"/>
      </w:pPr>
      <w:r>
        <w:rPr/>
        <w:t>The SSSD seeks original and unpublished tutorials on all aspects of product safety including, but not limited to:</w:t>
      </w:r>
    </w:p>
    <w:p>
      <w:pPr>
        <w:pStyle w:val="ListParagraph"/>
        <w:numPr>
          <w:ilvl w:val="0"/>
          <w:numId w:val="1"/>
        </w:numPr>
        <w:tabs>
          <w:tab w:pos="6051" w:val="left" w:leader="none"/>
          <w:tab w:pos="6052" w:val="left" w:leader="none"/>
        </w:tabs>
        <w:spacing w:line="346" w:lineRule="exact" w:before="122" w:after="0"/>
        <w:ind w:left="6051" w:right="0" w:hanging="360"/>
        <w:jc w:val="left"/>
        <w:rPr>
          <w:sz w:val="26"/>
        </w:rPr>
      </w:pPr>
      <w:r>
        <w:rPr>
          <w:sz w:val="26"/>
        </w:rPr>
        <w:t>Medical</w:t>
      </w:r>
      <w:r>
        <w:rPr>
          <w:spacing w:val="-11"/>
          <w:sz w:val="26"/>
        </w:rPr>
        <w:t> </w:t>
      </w:r>
      <w:r>
        <w:rPr>
          <w:sz w:val="26"/>
        </w:rPr>
        <w:t>Devices</w:t>
      </w:r>
    </w:p>
    <w:p>
      <w:pPr>
        <w:pStyle w:val="ListParagraph"/>
        <w:numPr>
          <w:ilvl w:val="0"/>
          <w:numId w:val="1"/>
        </w:numPr>
        <w:tabs>
          <w:tab w:pos="6051" w:val="left" w:leader="none"/>
          <w:tab w:pos="6052" w:val="left" w:leader="none"/>
        </w:tabs>
        <w:spacing w:line="346" w:lineRule="exact" w:before="0" w:after="0"/>
        <w:ind w:left="6051" w:right="0" w:hanging="360"/>
        <w:jc w:val="left"/>
        <w:rPr>
          <w:sz w:val="26"/>
        </w:rPr>
      </w:pPr>
      <w:r>
        <w:rPr>
          <w:sz w:val="26"/>
        </w:rPr>
        <w:t>Safety of ITE / A/V&amp;ICT</w:t>
      </w:r>
      <w:r>
        <w:rPr>
          <w:spacing w:val="-20"/>
          <w:sz w:val="26"/>
        </w:rPr>
        <w:t> </w:t>
      </w:r>
      <w:r>
        <w:rPr>
          <w:sz w:val="26"/>
        </w:rPr>
        <w:t>Equipment</w:t>
      </w:r>
    </w:p>
    <w:p>
      <w:pPr>
        <w:pStyle w:val="ListParagraph"/>
        <w:numPr>
          <w:ilvl w:val="0"/>
          <w:numId w:val="1"/>
        </w:numPr>
        <w:tabs>
          <w:tab w:pos="6051" w:val="left" w:leader="none"/>
          <w:tab w:pos="6052" w:val="left" w:leader="none"/>
        </w:tabs>
        <w:spacing w:line="240" w:lineRule="auto" w:before="0" w:after="0"/>
        <w:ind w:left="6051" w:right="787" w:hanging="360"/>
        <w:jc w:val="left"/>
        <w:rPr>
          <w:sz w:val="26"/>
        </w:rPr>
      </w:pPr>
      <w:r>
        <w:rPr>
          <w:sz w:val="26"/>
        </w:rPr>
        <w:t>New Standards and Hazard Based Safety Engineering</w:t>
      </w:r>
    </w:p>
    <w:p>
      <w:pPr>
        <w:pStyle w:val="ListParagraph"/>
        <w:numPr>
          <w:ilvl w:val="0"/>
          <w:numId w:val="1"/>
        </w:numPr>
        <w:tabs>
          <w:tab w:pos="6051" w:val="left" w:leader="none"/>
          <w:tab w:pos="6052" w:val="left" w:leader="none"/>
        </w:tabs>
        <w:spacing w:line="345" w:lineRule="exact" w:before="0" w:after="0"/>
        <w:ind w:left="6051" w:right="0" w:hanging="360"/>
        <w:jc w:val="left"/>
        <w:rPr>
          <w:sz w:val="26"/>
        </w:rPr>
      </w:pPr>
      <w:r>
        <w:rPr>
          <w:sz w:val="26"/>
        </w:rPr>
        <w:t>Functional</w:t>
      </w:r>
      <w:r>
        <w:rPr>
          <w:spacing w:val="-10"/>
          <w:sz w:val="26"/>
        </w:rPr>
        <w:t> </w:t>
      </w:r>
      <w:r>
        <w:rPr>
          <w:sz w:val="26"/>
        </w:rPr>
        <w:t>Safety</w:t>
      </w:r>
    </w:p>
    <w:p>
      <w:pPr>
        <w:pStyle w:val="ListParagraph"/>
        <w:numPr>
          <w:ilvl w:val="0"/>
          <w:numId w:val="1"/>
        </w:numPr>
        <w:tabs>
          <w:tab w:pos="6051" w:val="left" w:leader="none"/>
          <w:tab w:pos="6052" w:val="left" w:leader="none"/>
        </w:tabs>
        <w:spacing w:line="240" w:lineRule="auto" w:before="0" w:after="0"/>
        <w:ind w:left="6051" w:right="0" w:hanging="360"/>
        <w:jc w:val="left"/>
        <w:rPr>
          <w:sz w:val="26"/>
        </w:rPr>
      </w:pPr>
      <w:r>
        <w:rPr>
          <w:sz w:val="26"/>
        </w:rPr>
        <w:t>Batteries and Battery</w:t>
      </w:r>
      <w:r>
        <w:rPr>
          <w:spacing w:val="-12"/>
          <w:sz w:val="26"/>
        </w:rPr>
        <w:t> </w:t>
      </w:r>
      <w:r>
        <w:rPr>
          <w:sz w:val="26"/>
        </w:rPr>
        <w:t>Systems</w:t>
      </w:r>
    </w:p>
    <w:p>
      <w:pPr>
        <w:pStyle w:val="BodyText"/>
        <w:spacing w:before="1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4625975</wp:posOffset>
            </wp:positionH>
            <wp:positionV relativeFrom="paragraph">
              <wp:posOffset>152446</wp:posOffset>
            </wp:positionV>
            <wp:extent cx="2549027" cy="1621917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027" cy="162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300" w:bottom="280" w:left="2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051" w:hanging="360"/>
      </w:pPr>
      <w:rPr>
        <w:rFonts w:hint="default" w:ascii="Segoe UI" w:hAnsi="Segoe UI" w:eastAsia="Segoe UI" w:cs="Segoe UI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660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1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1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4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>
      <w:ind w:left="6051"/>
    </w:pPr>
    <w:rPr>
      <w:rFonts w:ascii="Segoe UI" w:hAnsi="Segoe UI" w:eastAsia="Segoe UI" w:cs="Segoe UI"/>
      <w:sz w:val="26"/>
      <w:szCs w:val="26"/>
    </w:rPr>
  </w:style>
  <w:style w:styleId="Heading1" w:type="paragraph">
    <w:name w:val="Heading 1"/>
    <w:basedOn w:val="Normal"/>
    <w:uiPriority w:val="1"/>
    <w:qFormat/>
    <w:pPr>
      <w:ind w:left="255"/>
      <w:outlineLvl w:val="1"/>
    </w:pPr>
    <w:rPr>
      <w:rFonts w:ascii="Segoe UI" w:hAnsi="Segoe UI" w:eastAsia="Segoe UI" w:cs="Segoe U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6051" w:hanging="360"/>
    </w:pPr>
    <w:rPr>
      <w:rFonts w:ascii="Segoe UI" w:hAnsi="Segoe UI" w:eastAsia="Segoe UI" w:cs="Segoe U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eszekl@ieee.org" TargetMode="External"/><Relationship Id="rId7" Type="http://schemas.openxmlformats.org/officeDocument/2006/relationships/hyperlink" Target="mailto:bansi.patel@ieee.org" TargetMode="External"/><Relationship Id="rId8" Type="http://schemas.openxmlformats.org/officeDocument/2006/relationships/hyperlink" Target="mailto:a.bera.us@ieee.org" TargetMode="External"/><Relationship Id="rId9" Type="http://schemas.openxmlformats.org/officeDocument/2006/relationships/hyperlink" Target="mailto:galcala@atecorp.com" TargetMode="External"/><Relationship Id="rId10" Type="http://schemas.openxmlformats.org/officeDocument/2006/relationships/hyperlink" Target="http://www.SSSD.org/" TargetMode="External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Langiewicz, Leszek M (WTR - San Diego)</dc:creator>
  <dcterms:created xsi:type="dcterms:W3CDTF">2018-05-16T15:54:50Z</dcterms:created>
  <dcterms:modified xsi:type="dcterms:W3CDTF">2018-05-16T15:54:50Z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2018-05-16T00:00:00Z</vt:filetime>
  </property>
</Properties>
</file>