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E7" w:rsidRDefault="00EA51D5" w:rsidP="00E36341">
      <w:pPr>
        <w:spacing w:after="120"/>
        <w:jc w:val="center"/>
        <w:rPr>
          <w:b/>
        </w:rPr>
      </w:pPr>
      <w:r>
        <w:rPr>
          <w:b/>
        </w:rPr>
        <w:t>Area</w:t>
      </w:r>
      <w:r w:rsidR="006B5BBD" w:rsidRPr="00E36341">
        <w:rPr>
          <w:b/>
        </w:rPr>
        <w:t xml:space="preserve"> Chair </w:t>
      </w:r>
    </w:p>
    <w:p w:rsidR="006B5BBD" w:rsidRPr="00E36341" w:rsidRDefault="006B5BBD" w:rsidP="00E36341">
      <w:pPr>
        <w:spacing w:after="120"/>
        <w:jc w:val="center"/>
        <w:rPr>
          <w:b/>
        </w:rPr>
      </w:pPr>
      <w:r w:rsidRPr="00E36341">
        <w:rPr>
          <w:b/>
        </w:rPr>
        <w:t>Position Description</w:t>
      </w:r>
    </w:p>
    <w:p w:rsidR="006B5BBD" w:rsidRDefault="006B5BBD" w:rsidP="00E36341">
      <w:pPr>
        <w:spacing w:after="120"/>
      </w:pPr>
    </w:p>
    <w:p w:rsidR="006B5BBD" w:rsidRDefault="006B5BBD" w:rsidP="00E36341">
      <w:pPr>
        <w:spacing w:after="120"/>
      </w:pPr>
      <w:r>
        <w:t>The purpose of this position description is to develop a shared mutual understand</w:t>
      </w:r>
      <w:r w:rsidR="00C12414">
        <w:t>ing</w:t>
      </w:r>
      <w:r>
        <w:t xml:space="preserve"> between the ExCom of </w:t>
      </w:r>
      <w:r w:rsidR="00EA51D5">
        <w:t>Region 3</w:t>
      </w:r>
      <w:r>
        <w:t xml:space="preserve"> </w:t>
      </w:r>
      <w:r w:rsidR="00EA51D5">
        <w:t>and potential volunteers for an</w:t>
      </w:r>
      <w:r>
        <w:t xml:space="preserve"> </w:t>
      </w:r>
      <w:r w:rsidR="00EA51D5">
        <w:t>Area</w:t>
      </w:r>
      <w:r w:rsidR="006C00C7">
        <w:t xml:space="preserve"> </w:t>
      </w:r>
      <w:r>
        <w:t xml:space="preserve">Chair </w:t>
      </w:r>
      <w:r w:rsidR="00EA51D5">
        <w:t xml:space="preserve">position, </w:t>
      </w:r>
      <w:r>
        <w:t xml:space="preserve">for the benefit of both.  The description below is intended to state the purpose of this </w:t>
      </w:r>
      <w:r w:rsidR="00AF0617">
        <w:t>position</w:t>
      </w:r>
      <w:r>
        <w:t>, describe the general expectations of the volunteer filling this position, and identify possible strategies and resources that the volunteer might utilize to successfully fill this position.</w:t>
      </w:r>
    </w:p>
    <w:p w:rsidR="006B5BBD" w:rsidRDefault="006B5BBD" w:rsidP="00E36341">
      <w:pPr>
        <w:spacing w:after="120"/>
      </w:pPr>
    </w:p>
    <w:p w:rsidR="00E36341" w:rsidRPr="00E36341" w:rsidRDefault="00AF0617" w:rsidP="00E36341">
      <w:pPr>
        <w:spacing w:after="120"/>
        <w:rPr>
          <w:b/>
        </w:rPr>
      </w:pPr>
      <w:r>
        <w:rPr>
          <w:b/>
        </w:rPr>
        <w:t>Position</w:t>
      </w:r>
      <w:r w:rsidR="00E36341" w:rsidRPr="00E36341">
        <w:rPr>
          <w:b/>
        </w:rPr>
        <w:t xml:space="preserve"> Purpose</w:t>
      </w:r>
    </w:p>
    <w:p w:rsidR="00E36341" w:rsidRDefault="00AF0617" w:rsidP="00E36341">
      <w:pPr>
        <w:spacing w:after="120"/>
      </w:pPr>
      <w:r>
        <w:t>The purpose of this position</w:t>
      </w:r>
      <w:r w:rsidR="006B5BBD">
        <w:t xml:space="preserve"> is to </w:t>
      </w:r>
      <w:r w:rsidR="00EA51D5">
        <w:t xml:space="preserve">better enable and empower the Section officers so that they may serve their members and </w:t>
      </w:r>
      <w:r w:rsidR="006C00C7">
        <w:t xml:space="preserve">fulfill the mission and goals of the Section, the Region, and MGA. The </w:t>
      </w:r>
      <w:r w:rsidR="00EA51D5">
        <w:t>Area</w:t>
      </w:r>
      <w:r w:rsidR="006C00C7">
        <w:t xml:space="preserve"> Chair is responsible for </w:t>
      </w:r>
      <w:r w:rsidR="00EA51D5">
        <w:t>1) serving as a “first line of defense”</w:t>
      </w:r>
      <w:r w:rsidR="00ED7DD1">
        <w:t xml:space="preserve"> for a troubled S</w:t>
      </w:r>
      <w:r w:rsidR="00EA51D5">
        <w:t>ection, 2) enabling the exchange of best practices between Sections, 3) representing the Sections to the Region</w:t>
      </w:r>
      <w:r w:rsidR="00F64506">
        <w:t>, and the Region to the Sections</w:t>
      </w:r>
      <w:r w:rsidR="00EA51D5">
        <w:t xml:space="preserve">, </w:t>
      </w:r>
      <w:r w:rsidR="00EA51D5" w:rsidRPr="00F64506">
        <w:rPr>
          <w:strike/>
        </w:rPr>
        <w:t>4) voting on Region awards</w:t>
      </w:r>
      <w:r w:rsidR="00EA51D5">
        <w:t xml:space="preserve">, and 5) actively participating in Region meetings.  </w:t>
      </w:r>
      <w:r w:rsidR="006C00C7">
        <w:t xml:space="preserve">The </w:t>
      </w:r>
      <w:r w:rsidR="00EA51D5">
        <w:t>Area</w:t>
      </w:r>
      <w:r w:rsidR="006C00C7">
        <w:t xml:space="preserve"> Chair should continually seek </w:t>
      </w:r>
      <w:r w:rsidR="003716E7">
        <w:t xml:space="preserve">opportunities </w:t>
      </w:r>
      <w:r w:rsidR="006C00C7">
        <w:t xml:space="preserve">to engage </w:t>
      </w:r>
      <w:r w:rsidR="00EA51D5">
        <w:t>Section volunteers and should endeavor to assist them when needed</w:t>
      </w:r>
      <w:r w:rsidR="006C00C7">
        <w:t xml:space="preserve">. </w:t>
      </w:r>
      <w:r w:rsidR="00F64506">
        <w:t>The Area Chair is a voting member of the Region 3 ExCom and the Region 3 Committee.</w:t>
      </w:r>
    </w:p>
    <w:p w:rsidR="00E36341" w:rsidRPr="00C50C50" w:rsidRDefault="00E36341" w:rsidP="00E36341">
      <w:pPr>
        <w:spacing w:after="120"/>
        <w:rPr>
          <w:b/>
        </w:rPr>
      </w:pPr>
      <w:r w:rsidRPr="00C50C50">
        <w:rPr>
          <w:b/>
        </w:rPr>
        <w:t xml:space="preserve">Expectations of </w:t>
      </w:r>
      <w:r w:rsidR="00EA51D5">
        <w:rPr>
          <w:b/>
        </w:rPr>
        <w:t>Area</w:t>
      </w:r>
      <w:r w:rsidRPr="00C50C50">
        <w:rPr>
          <w:b/>
        </w:rPr>
        <w:t xml:space="preserve"> Chair</w:t>
      </w:r>
    </w:p>
    <w:p w:rsidR="00D732D8" w:rsidRDefault="00E36341" w:rsidP="00E36341">
      <w:pPr>
        <w:spacing w:after="120"/>
      </w:pPr>
      <w:r>
        <w:t xml:space="preserve">The chair is expected to </w:t>
      </w:r>
      <w:r w:rsidR="00D732D8">
        <w:t>conduct/coordinate the following activities:</w:t>
      </w:r>
    </w:p>
    <w:p w:rsidR="002A182A" w:rsidRDefault="002A182A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Serve as a member of the Region 3 Committee</w:t>
      </w:r>
    </w:p>
    <w:p w:rsidR="002A182A" w:rsidRDefault="002A182A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Serve as a member of the Region 3 ExCom</w:t>
      </w:r>
    </w:p>
    <w:p w:rsidR="002A182A" w:rsidRPr="00F64506" w:rsidRDefault="002A182A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trike/>
          <w:sz w:val="20"/>
          <w:szCs w:val="20"/>
        </w:rPr>
      </w:pPr>
      <w:r w:rsidRPr="00F64506">
        <w:rPr>
          <w:rFonts w:eastAsia="Times New Roman" w:cs="Arial"/>
          <w:strike/>
          <w:sz w:val="20"/>
          <w:szCs w:val="20"/>
        </w:rPr>
        <w:t>Serve as a member of the Region 3 Awards and Recognitions Committee</w:t>
      </w:r>
    </w:p>
    <w:p w:rsidR="00341C7D" w:rsidRDefault="00EA51D5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Represent the Area</w:t>
      </w:r>
      <w:r w:rsidR="003361FB" w:rsidRPr="00341C7D">
        <w:rPr>
          <w:rFonts w:eastAsia="Times New Roman" w:cs="Arial"/>
          <w:sz w:val="20"/>
          <w:szCs w:val="20"/>
        </w:rPr>
        <w:t xml:space="preserve"> at IEEE gatherings</w:t>
      </w:r>
    </w:p>
    <w:p w:rsidR="003361FB" w:rsidRPr="00341C7D" w:rsidRDefault="00EA51D5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Represent the Area</w:t>
      </w:r>
      <w:r w:rsidR="00341C7D">
        <w:rPr>
          <w:rFonts w:eastAsia="Times New Roman" w:cs="Arial"/>
          <w:sz w:val="20"/>
          <w:szCs w:val="20"/>
        </w:rPr>
        <w:t xml:space="preserve"> at </w:t>
      </w:r>
      <w:r w:rsidR="003361FB" w:rsidRPr="00341C7D">
        <w:rPr>
          <w:rFonts w:eastAsia="Times New Roman" w:cs="Arial"/>
          <w:sz w:val="20"/>
          <w:szCs w:val="20"/>
        </w:rPr>
        <w:t>R</w:t>
      </w:r>
      <w:r w:rsidR="00341C7D">
        <w:rPr>
          <w:rFonts w:eastAsia="Times New Roman" w:cs="Arial"/>
          <w:sz w:val="20"/>
          <w:szCs w:val="20"/>
        </w:rPr>
        <w:t>egion Committee Meetings; v</w:t>
      </w:r>
      <w:r w:rsidR="003361FB" w:rsidRPr="00341C7D">
        <w:rPr>
          <w:rFonts w:eastAsia="Times New Roman" w:cs="Arial"/>
          <w:sz w:val="20"/>
          <w:szCs w:val="20"/>
        </w:rPr>
        <w:t xml:space="preserve">ote on </w:t>
      </w:r>
      <w:r w:rsidR="00341C7D">
        <w:rPr>
          <w:rFonts w:eastAsia="Times New Roman" w:cs="Arial"/>
          <w:sz w:val="20"/>
          <w:szCs w:val="20"/>
        </w:rPr>
        <w:t xml:space="preserve">Region </w:t>
      </w:r>
      <w:r w:rsidR="003361FB" w:rsidRPr="00341C7D">
        <w:rPr>
          <w:rFonts w:eastAsia="Times New Roman" w:cs="Arial"/>
          <w:sz w:val="20"/>
          <w:szCs w:val="20"/>
        </w:rPr>
        <w:t>issues on the basis of the best interest of IEEE</w:t>
      </w:r>
      <w:r>
        <w:rPr>
          <w:rFonts w:eastAsia="Times New Roman" w:cs="Arial"/>
          <w:sz w:val="20"/>
          <w:szCs w:val="20"/>
        </w:rPr>
        <w:t xml:space="preserve"> and your Area</w:t>
      </w:r>
      <w:r w:rsidR="003361FB" w:rsidRPr="00341C7D">
        <w:rPr>
          <w:rFonts w:eastAsia="Times New Roman" w:cs="Arial"/>
          <w:sz w:val="20"/>
          <w:szCs w:val="20"/>
        </w:rPr>
        <w:t xml:space="preserve"> </w:t>
      </w:r>
    </w:p>
    <w:p w:rsidR="00EA51D5" w:rsidRDefault="003361FB" w:rsidP="001116E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 w:rsidRPr="00EA51D5">
        <w:rPr>
          <w:rFonts w:eastAsia="Times New Roman" w:cs="Arial"/>
          <w:sz w:val="20"/>
          <w:szCs w:val="20"/>
        </w:rPr>
        <w:t>Ensure that Section Officers</w:t>
      </w:r>
      <w:r w:rsidR="00EA51D5" w:rsidRPr="00EA51D5">
        <w:rPr>
          <w:rFonts w:eastAsia="Times New Roman" w:cs="Arial"/>
          <w:sz w:val="20"/>
          <w:szCs w:val="20"/>
        </w:rPr>
        <w:t xml:space="preserve"> understand their role within the Region</w:t>
      </w:r>
    </w:p>
    <w:p w:rsidR="003361FB" w:rsidRPr="005A7828" w:rsidRDefault="002A182A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</w:t>
      </w:r>
      <w:r w:rsidR="00ED7DD1">
        <w:rPr>
          <w:rFonts w:eastAsia="Times New Roman" w:cs="Arial"/>
          <w:sz w:val="20"/>
          <w:szCs w:val="20"/>
        </w:rPr>
        <w:t>erify that each</w:t>
      </w:r>
      <w:r w:rsidR="003361FB" w:rsidRPr="005A7828">
        <w:rPr>
          <w:rFonts w:eastAsia="Times New Roman" w:cs="Arial"/>
          <w:sz w:val="20"/>
          <w:szCs w:val="20"/>
        </w:rPr>
        <w:t xml:space="preserve"> Section and its subunits are conducting activities on a regular basis and reporting all meetings via vtools </w:t>
      </w:r>
    </w:p>
    <w:p w:rsidR="003361FB" w:rsidRDefault="002A182A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Verify that </w:t>
      </w:r>
      <w:r w:rsidR="003361FB" w:rsidRPr="005A7828">
        <w:rPr>
          <w:rFonts w:eastAsia="Times New Roman" w:cs="Arial"/>
          <w:sz w:val="20"/>
          <w:szCs w:val="20"/>
        </w:rPr>
        <w:t>a Section Nominating Committee is established in accordance with MGA Guidelines</w:t>
      </w:r>
    </w:p>
    <w:p w:rsidR="002A182A" w:rsidRDefault="002A182A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Inform Region leadership if a Section seems to be floundering, assist </w:t>
      </w:r>
      <w:r w:rsidR="00F64506">
        <w:rPr>
          <w:rFonts w:eastAsia="Times New Roman" w:cs="Arial"/>
          <w:sz w:val="20"/>
          <w:szCs w:val="20"/>
        </w:rPr>
        <w:t xml:space="preserve">or identify resources for the Section, </w:t>
      </w:r>
      <w:r>
        <w:rPr>
          <w:rFonts w:eastAsia="Times New Roman" w:cs="Arial"/>
          <w:sz w:val="20"/>
          <w:szCs w:val="20"/>
        </w:rPr>
        <w:t>as needed</w:t>
      </w:r>
    </w:p>
    <w:p w:rsidR="002A182A" w:rsidRDefault="002A182A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Coordinate Area meetings or telecons to share best practices among Section leadership; if funding is available, travel to Section meetings</w:t>
      </w:r>
    </w:p>
    <w:p w:rsidR="002A182A" w:rsidRPr="00F64506" w:rsidRDefault="002A182A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trike/>
          <w:sz w:val="20"/>
          <w:szCs w:val="20"/>
        </w:rPr>
      </w:pPr>
      <w:r w:rsidRPr="00F64506">
        <w:rPr>
          <w:rFonts w:eastAsia="Times New Roman" w:cs="Arial"/>
          <w:strike/>
          <w:sz w:val="20"/>
          <w:szCs w:val="20"/>
        </w:rPr>
        <w:t>Actively participate in the Region 3 Awards and Recognitions Committee by reviewing Awards guidelines and participating in selecting award winners each year</w:t>
      </w:r>
    </w:p>
    <w:p w:rsidR="003361FB" w:rsidRPr="005A7828" w:rsidRDefault="00341C7D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Stay informed about</w:t>
      </w:r>
      <w:r w:rsidR="003361FB" w:rsidRPr="005A7828">
        <w:rPr>
          <w:rFonts w:eastAsia="Times New Roman" w:cs="Arial"/>
          <w:sz w:val="20"/>
          <w:szCs w:val="20"/>
        </w:rPr>
        <w:t xml:space="preserve"> IEEE and its business, </w:t>
      </w:r>
      <w:r>
        <w:rPr>
          <w:rFonts w:eastAsia="Times New Roman" w:cs="Arial"/>
          <w:sz w:val="20"/>
          <w:szCs w:val="20"/>
        </w:rPr>
        <w:t>mi</w:t>
      </w:r>
      <w:r w:rsidR="003361FB" w:rsidRPr="005A7828">
        <w:rPr>
          <w:rFonts w:eastAsia="Times New Roman" w:cs="Arial"/>
          <w:sz w:val="20"/>
          <w:szCs w:val="20"/>
        </w:rPr>
        <w:t>ssion, services, policies and programs</w:t>
      </w:r>
    </w:p>
    <w:p w:rsidR="003361FB" w:rsidRDefault="00341C7D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</w:t>
      </w:r>
      <w:r w:rsidR="003361FB" w:rsidRPr="005A7828">
        <w:rPr>
          <w:rFonts w:eastAsia="Times New Roman" w:cs="Arial"/>
          <w:sz w:val="20"/>
          <w:szCs w:val="20"/>
        </w:rPr>
        <w:t xml:space="preserve">e familiar with matters </w:t>
      </w:r>
      <w:r w:rsidR="002A182A">
        <w:rPr>
          <w:rFonts w:eastAsia="Times New Roman" w:cs="Arial"/>
          <w:sz w:val="20"/>
          <w:szCs w:val="20"/>
        </w:rPr>
        <w:t>affecting the Area</w:t>
      </w:r>
    </w:p>
    <w:p w:rsidR="003361FB" w:rsidRPr="005A7828" w:rsidRDefault="003361FB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 w:rsidRPr="005A7828">
        <w:rPr>
          <w:rFonts w:eastAsia="Times New Roman" w:cs="Arial"/>
          <w:sz w:val="20"/>
          <w:szCs w:val="20"/>
        </w:rPr>
        <w:t>Review IEEE documents as they r</w:t>
      </w:r>
      <w:r w:rsidR="002A182A">
        <w:rPr>
          <w:rFonts w:eastAsia="Times New Roman" w:cs="Arial"/>
          <w:sz w:val="20"/>
          <w:szCs w:val="20"/>
        </w:rPr>
        <w:t>elate to the position of Area</w:t>
      </w:r>
      <w:r w:rsidRPr="005A7828">
        <w:rPr>
          <w:rFonts w:eastAsia="Times New Roman" w:cs="Arial"/>
          <w:sz w:val="20"/>
          <w:szCs w:val="20"/>
        </w:rPr>
        <w:t xml:space="preserve"> Chair, including IEEE Bylaws, IEEE </w:t>
      </w:r>
      <w:r w:rsidR="005A7828" w:rsidRPr="005A7828">
        <w:rPr>
          <w:rFonts w:eastAsia="Times New Roman" w:cs="Arial"/>
          <w:sz w:val="20"/>
          <w:szCs w:val="20"/>
        </w:rPr>
        <w:t>Policies</w:t>
      </w:r>
      <w:r w:rsidRPr="005A7828">
        <w:rPr>
          <w:rFonts w:eastAsia="Times New Roman" w:cs="Arial"/>
          <w:sz w:val="20"/>
          <w:szCs w:val="20"/>
        </w:rPr>
        <w:t xml:space="preserve">, IEEE Financial Operations Manual and the MGA Operations Manual. </w:t>
      </w:r>
    </w:p>
    <w:p w:rsidR="003361FB" w:rsidRPr="005A7828" w:rsidRDefault="003361FB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 w:rsidRPr="005A7828">
        <w:rPr>
          <w:rFonts w:eastAsia="Times New Roman" w:cs="Arial"/>
          <w:sz w:val="20"/>
          <w:szCs w:val="20"/>
        </w:rPr>
        <w:t>Become familiar with IEEE Policies regarding funding sources for Geographic Units, the appropriate use of IEEE Funds, establishing bank accounts, contract administration, annual reporting requi</w:t>
      </w:r>
      <w:r w:rsidR="005A7828" w:rsidRPr="005A7828">
        <w:rPr>
          <w:rFonts w:eastAsia="Times New Roman" w:cs="Arial"/>
          <w:sz w:val="20"/>
          <w:szCs w:val="20"/>
        </w:rPr>
        <w:t>rements and insurance coverage</w:t>
      </w:r>
      <w:r w:rsidR="002A182A">
        <w:rPr>
          <w:rFonts w:eastAsia="Times New Roman" w:cs="Arial"/>
          <w:sz w:val="20"/>
          <w:szCs w:val="20"/>
        </w:rPr>
        <w:t>. Assist Sections with identifying appropriate funding sources, as needed</w:t>
      </w:r>
    </w:p>
    <w:p w:rsidR="003361FB" w:rsidRPr="00341C7D" w:rsidRDefault="003361FB" w:rsidP="003361F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</w:rPr>
      </w:pPr>
      <w:r w:rsidRPr="00341C7D">
        <w:rPr>
          <w:rFonts w:eastAsia="Times New Roman" w:cs="Arial"/>
          <w:sz w:val="20"/>
          <w:szCs w:val="20"/>
        </w:rPr>
        <w:t>Act as</w:t>
      </w:r>
      <w:r w:rsidR="005A7828" w:rsidRPr="00341C7D">
        <w:rPr>
          <w:rFonts w:eastAsia="Times New Roman" w:cs="Arial"/>
          <w:sz w:val="20"/>
          <w:szCs w:val="20"/>
        </w:rPr>
        <w:t xml:space="preserve"> </w:t>
      </w:r>
      <w:r w:rsidRPr="00341C7D">
        <w:rPr>
          <w:rFonts w:eastAsia="Times New Roman" w:cs="Arial"/>
          <w:sz w:val="20"/>
          <w:szCs w:val="20"/>
        </w:rPr>
        <w:t xml:space="preserve">mentor to </w:t>
      </w:r>
      <w:r w:rsidR="00341C7D">
        <w:rPr>
          <w:rFonts w:eastAsia="Times New Roman" w:cs="Arial"/>
          <w:sz w:val="20"/>
          <w:szCs w:val="20"/>
        </w:rPr>
        <w:t>your</w:t>
      </w:r>
      <w:r w:rsidR="002A182A">
        <w:rPr>
          <w:rFonts w:eastAsia="Times New Roman" w:cs="Arial"/>
          <w:sz w:val="20"/>
          <w:szCs w:val="20"/>
        </w:rPr>
        <w:t xml:space="preserve"> </w:t>
      </w:r>
      <w:r w:rsidR="00ED7DD1">
        <w:rPr>
          <w:rFonts w:eastAsia="Times New Roman" w:cs="Arial"/>
          <w:sz w:val="20"/>
          <w:szCs w:val="20"/>
        </w:rPr>
        <w:t>successor</w:t>
      </w:r>
    </w:p>
    <w:p w:rsidR="00E47C8B" w:rsidRDefault="00E47C8B" w:rsidP="00E51B64">
      <w:pPr>
        <w:pStyle w:val="ListParagraph"/>
        <w:spacing w:after="120"/>
      </w:pPr>
    </w:p>
    <w:p w:rsidR="007B291F" w:rsidRPr="00C50C50" w:rsidRDefault="007B291F" w:rsidP="005A7828">
      <w:pPr>
        <w:tabs>
          <w:tab w:val="left" w:pos="7320"/>
        </w:tabs>
        <w:spacing w:after="120"/>
        <w:rPr>
          <w:b/>
        </w:rPr>
      </w:pPr>
      <w:r w:rsidRPr="00C50C50">
        <w:rPr>
          <w:b/>
        </w:rPr>
        <w:t>Suggest</w:t>
      </w:r>
      <w:r w:rsidR="00E51B64">
        <w:rPr>
          <w:b/>
        </w:rPr>
        <w:t>ed</w:t>
      </w:r>
      <w:r w:rsidRPr="00C50C50">
        <w:rPr>
          <w:b/>
        </w:rPr>
        <w:t xml:space="preserve"> Strategies and Resources</w:t>
      </w:r>
      <w:r w:rsidR="005A7828">
        <w:rPr>
          <w:b/>
        </w:rPr>
        <w:tab/>
      </w:r>
    </w:p>
    <w:p w:rsidR="005A7828" w:rsidRDefault="002A182A" w:rsidP="007B291F">
      <w:pPr>
        <w:pStyle w:val="ListParagraph"/>
        <w:numPr>
          <w:ilvl w:val="0"/>
          <w:numId w:val="2"/>
        </w:numPr>
        <w:spacing w:after="120"/>
      </w:pPr>
      <w:r>
        <w:lastRenderedPageBreak/>
        <w:t>Identify new</w:t>
      </w:r>
      <w:r w:rsidR="005A7828">
        <w:t xml:space="preserve"> </w:t>
      </w:r>
      <w:r>
        <w:t xml:space="preserve">Section Officers via </w:t>
      </w:r>
      <w:r w:rsidRPr="00F64506">
        <w:rPr>
          <w:strike/>
        </w:rPr>
        <w:t>SAMIEEE</w:t>
      </w:r>
      <w:r>
        <w:t xml:space="preserve"> </w:t>
      </w:r>
      <w:r w:rsidR="00F64506">
        <w:t xml:space="preserve">OU Analytics </w:t>
      </w:r>
      <w:r>
        <w:t>or direct contact with previous Section Officers</w:t>
      </w:r>
    </w:p>
    <w:p w:rsidR="005A7828" w:rsidRDefault="005A7828" w:rsidP="007B291F">
      <w:pPr>
        <w:pStyle w:val="ListParagraph"/>
        <w:numPr>
          <w:ilvl w:val="0"/>
          <w:numId w:val="2"/>
        </w:numPr>
        <w:spacing w:after="120"/>
      </w:pPr>
      <w:r>
        <w:t>Help subunits share information and speakers; assist with identifying Distinguished Lecturers</w:t>
      </w:r>
    </w:p>
    <w:p w:rsidR="005A7828" w:rsidRDefault="00ED7DD1" w:rsidP="005A7828">
      <w:pPr>
        <w:pStyle w:val="ListParagraph"/>
        <w:numPr>
          <w:ilvl w:val="0"/>
          <w:numId w:val="2"/>
        </w:numPr>
        <w:spacing w:after="120"/>
      </w:pPr>
      <w:r>
        <w:t xml:space="preserve">Become familiar with and use the </w:t>
      </w:r>
      <w:hyperlink r:id="rId8" w:history="1">
        <w:r w:rsidR="005A7828" w:rsidRPr="005A7828">
          <w:rPr>
            <w:rStyle w:val="Hyperlink"/>
          </w:rPr>
          <w:t>Center for Leadership Excellence</w:t>
        </w:r>
      </w:hyperlink>
      <w:r>
        <w:t xml:space="preserve"> </w:t>
      </w:r>
      <w:r w:rsidR="005A7828">
        <w:t xml:space="preserve">resources </w:t>
      </w:r>
    </w:p>
    <w:p w:rsidR="007B291F" w:rsidRDefault="005A7828" w:rsidP="007B291F">
      <w:pPr>
        <w:pStyle w:val="ListParagraph"/>
        <w:numPr>
          <w:ilvl w:val="0"/>
          <w:numId w:val="2"/>
        </w:numPr>
        <w:spacing w:after="120"/>
      </w:pPr>
      <w:r>
        <w:t>Identify well-received activities that</w:t>
      </w:r>
      <w:r w:rsidR="00E51B64">
        <w:t xml:space="preserve"> should become annual / semi-annual events</w:t>
      </w:r>
      <w:r w:rsidR="007B291F">
        <w:t>.</w:t>
      </w:r>
      <w:r w:rsidR="00E51B64">
        <w:t xml:space="preserve"> Planning should draw upon previous years’ experiences and lessons learned.</w:t>
      </w:r>
      <w:r w:rsidR="00ED7DD1">
        <w:t xml:space="preserve">  Share best practices among the Sections</w:t>
      </w:r>
    </w:p>
    <w:p w:rsidR="00885410" w:rsidRDefault="00341C7D" w:rsidP="00AF0617">
      <w:pPr>
        <w:pStyle w:val="ListParagraph"/>
        <w:numPr>
          <w:ilvl w:val="0"/>
          <w:numId w:val="2"/>
        </w:numPr>
        <w:spacing w:after="120"/>
      </w:pPr>
      <w:r>
        <w:t xml:space="preserve">Search for </w:t>
      </w:r>
      <w:r w:rsidR="00ED7DD1">
        <w:t>external (i.e., non-Section)</w:t>
      </w:r>
      <w:r w:rsidR="00E51B64">
        <w:t xml:space="preserve"> funding s</w:t>
      </w:r>
      <w:r>
        <w:t>ources</w:t>
      </w:r>
      <w:r w:rsidR="00E51B64">
        <w:t>. Potential</w:t>
      </w:r>
      <w:r w:rsidR="00F64506">
        <w:t xml:space="preserve"> resources include Region 3, </w:t>
      </w:r>
      <w:r w:rsidR="00E51B64">
        <w:t>IEEE USA</w:t>
      </w:r>
      <w:r>
        <w:t>,</w:t>
      </w:r>
      <w:r w:rsidR="00F64506">
        <w:t xml:space="preserve"> WIE, etc.,</w:t>
      </w:r>
      <w:r>
        <w:t xml:space="preserve"> plus local businesses</w:t>
      </w:r>
      <w:r w:rsidR="00E51B64">
        <w:t>.</w:t>
      </w:r>
    </w:p>
    <w:p w:rsidR="00341C7D" w:rsidRDefault="00341C7D" w:rsidP="00AF0617">
      <w:pPr>
        <w:pStyle w:val="ListParagraph"/>
        <w:numPr>
          <w:ilvl w:val="0"/>
          <w:numId w:val="2"/>
        </w:numPr>
        <w:spacing w:after="120"/>
      </w:pPr>
      <w:r>
        <w:t xml:space="preserve">Make good use of your mentor. Create an ongoing list of questions </w:t>
      </w:r>
      <w:r w:rsidR="00F635DC">
        <w:t xml:space="preserve">that need to be addressed. Feedback on additional information that </w:t>
      </w:r>
      <w:r w:rsidR="00ED7DD1">
        <w:t xml:space="preserve">Area </w:t>
      </w:r>
      <w:r w:rsidR="00F635DC">
        <w:t xml:space="preserve">Chairs need will help future </w:t>
      </w:r>
      <w:r w:rsidR="00ED7DD1">
        <w:t>Area</w:t>
      </w:r>
      <w:r w:rsidR="00F635DC">
        <w:t xml:space="preserve"> Chairs.</w:t>
      </w:r>
      <w:bookmarkStart w:id="0" w:name="_GoBack"/>
      <w:bookmarkEnd w:id="0"/>
    </w:p>
    <w:sectPr w:rsidR="00341C7D" w:rsidSect="007B291F"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F1" w:rsidRDefault="009719F1">
      <w:pPr>
        <w:spacing w:after="0"/>
      </w:pPr>
      <w:r>
        <w:separator/>
      </w:r>
    </w:p>
  </w:endnote>
  <w:endnote w:type="continuationSeparator" w:id="0">
    <w:p w:rsidR="009719F1" w:rsidRDefault="00971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F1" w:rsidRDefault="009719F1">
      <w:pPr>
        <w:spacing w:after="0"/>
      </w:pPr>
      <w:r>
        <w:separator/>
      </w:r>
    </w:p>
  </w:footnote>
  <w:footnote w:type="continuationSeparator" w:id="0">
    <w:p w:rsidR="009719F1" w:rsidRDefault="00971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8332"/>
      <w:docPartObj>
        <w:docPartGallery w:val="Page Numbers (Top of Page)"/>
        <w:docPartUnique/>
      </w:docPartObj>
    </w:sdtPr>
    <w:sdtEndPr/>
    <w:sdtContent>
      <w:p w:rsidR="00885410" w:rsidRDefault="00885410">
        <w:pPr>
          <w:pStyle w:val="Header"/>
          <w:jc w:val="center"/>
        </w:pPr>
        <w:r>
          <w:t xml:space="preserve">Page </w:t>
        </w:r>
        <w:r w:rsidR="00DE7731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DE7731">
          <w:rPr>
            <w:b/>
            <w:bCs/>
          </w:rPr>
          <w:fldChar w:fldCharType="separate"/>
        </w:r>
        <w:r w:rsidR="00F64506">
          <w:rPr>
            <w:b/>
            <w:bCs/>
            <w:noProof/>
          </w:rPr>
          <w:t>2</w:t>
        </w:r>
        <w:r w:rsidR="00DE7731">
          <w:rPr>
            <w:b/>
            <w:bCs/>
          </w:rPr>
          <w:fldChar w:fldCharType="end"/>
        </w:r>
        <w:r>
          <w:t xml:space="preserve"> of </w:t>
        </w:r>
        <w:r w:rsidR="00DE7731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DE7731">
          <w:rPr>
            <w:b/>
            <w:bCs/>
          </w:rPr>
          <w:fldChar w:fldCharType="separate"/>
        </w:r>
        <w:r w:rsidR="00F64506">
          <w:rPr>
            <w:b/>
            <w:bCs/>
            <w:noProof/>
          </w:rPr>
          <w:t>2</w:t>
        </w:r>
        <w:r w:rsidR="00DE7731">
          <w:rPr>
            <w:b/>
            <w:bCs/>
          </w:rPr>
          <w:fldChar w:fldCharType="end"/>
        </w:r>
      </w:p>
    </w:sdtContent>
  </w:sdt>
  <w:p w:rsidR="00F43B18" w:rsidRPr="00CC144D" w:rsidRDefault="00ED7DD1">
    <w:pPr>
      <w:pStyle w:val="Header"/>
      <w:rPr>
        <w:sz w:val="20"/>
        <w:szCs w:val="20"/>
      </w:rPr>
    </w:pPr>
    <w:r>
      <w:rPr>
        <w:sz w:val="20"/>
        <w:szCs w:val="20"/>
      </w:rPr>
      <w:t>Area</w:t>
    </w:r>
    <w:r w:rsidR="005A7828">
      <w:rPr>
        <w:sz w:val="20"/>
        <w:szCs w:val="20"/>
      </w:rPr>
      <w:t xml:space="preserve"> Cha</w:t>
    </w:r>
    <w:r w:rsidR="00885410" w:rsidRPr="00CC144D">
      <w:rPr>
        <w:sz w:val="20"/>
        <w:szCs w:val="20"/>
      </w:rPr>
      <w:t>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5956"/>
    <w:multiLevelType w:val="hybridMultilevel"/>
    <w:tmpl w:val="0698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17120"/>
    <w:multiLevelType w:val="hybridMultilevel"/>
    <w:tmpl w:val="377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115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BD"/>
    <w:rsid w:val="00137418"/>
    <w:rsid w:val="002A182A"/>
    <w:rsid w:val="002D0A0B"/>
    <w:rsid w:val="003361FB"/>
    <w:rsid w:val="00341C7D"/>
    <w:rsid w:val="003716E7"/>
    <w:rsid w:val="003D423C"/>
    <w:rsid w:val="004527CF"/>
    <w:rsid w:val="004C4C05"/>
    <w:rsid w:val="004E726D"/>
    <w:rsid w:val="004E7D2B"/>
    <w:rsid w:val="005A7828"/>
    <w:rsid w:val="005E64AE"/>
    <w:rsid w:val="00680FFD"/>
    <w:rsid w:val="006B5BBD"/>
    <w:rsid w:val="006C00C7"/>
    <w:rsid w:val="0070309A"/>
    <w:rsid w:val="007228EA"/>
    <w:rsid w:val="007B291F"/>
    <w:rsid w:val="007E6757"/>
    <w:rsid w:val="00885410"/>
    <w:rsid w:val="00896588"/>
    <w:rsid w:val="009064A5"/>
    <w:rsid w:val="009123BB"/>
    <w:rsid w:val="009719F1"/>
    <w:rsid w:val="00A014F7"/>
    <w:rsid w:val="00AF0617"/>
    <w:rsid w:val="00B050F2"/>
    <w:rsid w:val="00B52909"/>
    <w:rsid w:val="00C12414"/>
    <w:rsid w:val="00C50C50"/>
    <w:rsid w:val="00CC144D"/>
    <w:rsid w:val="00CC442F"/>
    <w:rsid w:val="00D57FE2"/>
    <w:rsid w:val="00D732D8"/>
    <w:rsid w:val="00DE7731"/>
    <w:rsid w:val="00DF5D74"/>
    <w:rsid w:val="00E36341"/>
    <w:rsid w:val="00E47C8B"/>
    <w:rsid w:val="00E51B64"/>
    <w:rsid w:val="00EA51D5"/>
    <w:rsid w:val="00ED7DD1"/>
    <w:rsid w:val="00F24B1F"/>
    <w:rsid w:val="00F43B18"/>
    <w:rsid w:val="00F635DC"/>
    <w:rsid w:val="00F645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C98F9E"/>
  <w15:docId w15:val="{2C471868-BD32-4EF5-9253-09807C0A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B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5B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B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5B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3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91F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6C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elearning.org/C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5E79-DE3F-441E-AD6F-9D35C3AB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Tech/GTRI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Marshall</dc:creator>
  <cp:lastModifiedBy>Gostin, Jill</cp:lastModifiedBy>
  <cp:revision>2</cp:revision>
  <cp:lastPrinted>2011-07-26T21:23:00Z</cp:lastPrinted>
  <dcterms:created xsi:type="dcterms:W3CDTF">2019-11-18T17:02:00Z</dcterms:created>
  <dcterms:modified xsi:type="dcterms:W3CDTF">2019-11-18T17:02:00Z</dcterms:modified>
</cp:coreProperties>
</file>